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activeX/_rels/activeX9.xml.rels" ContentType="application/vnd.openxmlformats-package.relationships+xml"/>
  <Override PartName="/word/activeX/_rels/activeX8.xml.rels" ContentType="application/vnd.openxmlformats-package.relationships+xml"/>
  <Override PartName="/word/activeX/_rels/activeX7.xml.rels" ContentType="application/vnd.openxmlformats-package.relationships+xml"/>
  <Override PartName="/word/activeX/_rels/activeX1.xml.rels" ContentType="application/vnd.openxmlformats-package.relationships+xml"/>
  <Override PartName="/word/activeX/_rels/activeX2.xml.rels" ContentType="application/vnd.openxmlformats-package.relationships+xml"/>
  <Override PartName="/word/activeX/_rels/activeX3.xml.rels" ContentType="application/vnd.openxmlformats-package.relationships+xml"/>
  <Override PartName="/word/activeX/_rels/activeX10.xml.rels" ContentType="application/vnd.openxmlformats-package.relationships+xml"/>
  <Override PartName="/word/activeX/_rels/activeX4.xml.rels" ContentType="application/vnd.openxmlformats-package.relationships+xml"/>
  <Override PartName="/word/activeX/_rels/activeX5.xml.rels" ContentType="application/vnd.openxmlformats-package.relationships+xml"/>
  <Override PartName="/word/activeX/_rels/activeX6.xml.rels" ContentType="application/vnd.openxmlformats-package.relationships+xml"/>
  <Override PartName="/word/activeX/activeX7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4.xml" ContentType="application/vnd.ms-office.activeX+xml"/>
  <Override PartName="/word/activeX/activeX10.xml" ContentType="application/vnd.ms-office.activeX+xml"/>
  <Override PartName="/word/activeX/activeX9.xml" ContentType="application/vnd.ms-office.activeX+xml"/>
  <Override PartName="/word/activeX/activeX9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7.xml" ContentType="application/vnd.ms-office.activeX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10.bin" ContentType="application/vnd.ms-office.activeX"/>
  <Override PartName="/word/activeX/activeX4.bin" ContentType="application/vnd.ms-office.activeX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center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Fourniture de gaz, location et maintenance d’installations associées au profit de l’Unité Nationale de Police Judiciaire de la Gendarmerie Nationale (UNPJ-GN) à Cergy-Pontoise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Cadre de réponse </w:t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Responsabilité Sociétale des entreprises (RSE) pour l’ensemble des lots</w:t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BodyText"/>
              <w:widowControl w:val="false"/>
              <w:bidi w:val="0"/>
              <w:ind w:hanging="0" w:left="113" w:right="113"/>
              <w:jc w:val="left"/>
              <w:rPr>
                <w:color w:val="FF0000"/>
              </w:rPr>
            </w:pPr>
            <w:r>
              <w:rPr>
                <w:color w:val="FF0000"/>
                <w:u w:val="single"/>
              </w:rPr>
              <w:t>Consignes de remplissage :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Ce cadre de réponse RSE a pour objectif de permettre la notation du critère de jugement n°5 de chaque lot mentionné à l’article</w:t>
            </w:r>
            <w:r>
              <w:rPr>
                <w:rFonts w:ascii="Times New Roman" w:hAnsi="Times New Roman"/>
                <w:color w:val="00A93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15.3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du règlement de consultation.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est donc nécessaire d’apporter une attention toute particulière à son remplissage.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est demandé au candidat de répondre par OUI ou par NON à chaque question posée 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  <w:u w:val="single"/>
              </w:rPr>
              <w:t>Attention en cas de groupement</w:t>
            </w:r>
            <w:r>
              <w:rPr>
                <w:rFonts w:ascii="Times New Roman" w:hAnsi="Times New Roman"/>
                <w:sz w:val="22"/>
                <w:szCs w:val="22"/>
              </w:rPr>
              <w:t> : le mandataire du groupement fournit un cadre de réponse RSE commun à toutes les sociétés composant le groupement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).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Lorsque cela est attendu, le candidat devra justifier sa réponse dans le cadre prévu à cet effet (la taille des cadres est modulable).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Toutefois,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le nombre total de pages du cadre de réponse RSE ne devra pas excéder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  <w:t>12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 xml:space="preserve"> pages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(hors page de garde). Toute page au-delà de cette limite ne sera pas prise en compte dans la notation.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color w:val="auto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</w:rPr>
              <w:t xml:space="preserve">Les justificatifs ISO (le cas échéant) seront transmis séparément de ce document (non comptabilisés dans les 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</w:rPr>
              <w:t xml:space="preserve"> pages).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color w:val="auto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</w:rPr>
              <w:t>Tout document complémentaire à ce cadre de réponse RSE (hors ceux cités supra) ne sera pas étudié.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auto"/>
                <w:sz w:val="22"/>
                <w:szCs w:val="22"/>
                <w:u w:val="single"/>
              </w:rPr>
              <w:t>Les rubriques et la police affectées à ce document ne doivent en aucun cas être modifiées pour préserver l’égalité de traitement des candidats.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b/>
                <w:bCs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color w:val="auto"/>
                <w:sz w:val="22"/>
                <w:szCs w:val="22"/>
                <w:u w:val="none"/>
              </w:rPr>
              <w:t>L’absence de réponse à ce cadre de réponse n’entraîne pas l’irrégularité de l’offre.</w:t>
            </w:r>
          </w:p>
          <w:p>
            <w:pPr>
              <w:pStyle w:val="Normal"/>
              <w:widowControl w:val="false"/>
              <w:bidi w:val="0"/>
              <w:ind w:hanging="0" w:left="113" w:right="113"/>
              <w:jc w:val="both"/>
              <w:rPr>
                <w:rFonts w:ascii="Times New Roman" w:hAnsi="Times New Roman"/>
                <w:b w:val="false"/>
                <w:bCs w:val="false"/>
                <w:i w:val="false"/>
                <w:i w:val="false"/>
                <w:iCs w:val="false"/>
                <w:color w:val="auto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auto"/>
                <w:sz w:val="22"/>
                <w:szCs w:val="22"/>
                <w:u w:val="single"/>
              </w:rPr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134" w:right="1134" w:gutter="0" w:header="0" w:top="1134" w:footer="1191" w:bottom="1444"/>
          <w:pgNumType w:fmt="none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bidi w:val="0"/>
        <w:spacing w:before="0" w:after="283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Évaluation RSE du </w:t>
      </w:r>
      <w:r>
        <w:rPr>
          <w:rFonts w:ascii="Times New Roman" w:hAnsi="Times New Roman"/>
          <w:b/>
          <w:bCs/>
          <w:color w:val="auto"/>
          <w:sz w:val="22"/>
          <w:szCs w:val="22"/>
        </w:rPr>
        <w:t>candidat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VOLET SOCIAL </w:t>
      </w:r>
      <w:r>
        <w:rPr>
          <w:rFonts w:ascii="Times New Roman" w:hAnsi="Times New Roman"/>
          <w:b/>
          <w:bCs/>
          <w:color w:val="C9211E"/>
          <w:sz w:val="22"/>
          <w:szCs w:val="22"/>
        </w:rPr>
        <w:t xml:space="preserve"> </w:t>
      </w:r>
    </w:p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Politique du </w:t>
      </w:r>
      <w:r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>candidat</w:t>
      </w: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 en matière de formation</w:t>
      </w:r>
    </w:p>
    <w:p>
      <w:pPr>
        <w:pStyle w:val="Normal"/>
        <w:widowControl w:val="false"/>
        <w:bidi w:val="0"/>
        <w:spacing w:lineRule="auto" w:line="240" w:before="227" w:after="113"/>
        <w:ind w:hanging="0" w:left="0" w:right="17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none"/>
        </w:rPr>
        <w:t xml:space="preserve">Les personnels du </w:t>
      </w:r>
      <w:r>
        <w:rPr>
          <w:rFonts w:ascii="Times New Roman" w:hAnsi="Times New Roman"/>
          <w:color w:val="auto"/>
          <w:sz w:val="22"/>
          <w:szCs w:val="22"/>
          <w:u w:val="none"/>
        </w:rPr>
        <w:t>candidat</w:t>
      </w:r>
      <w:r>
        <w:rPr>
          <w:rFonts w:ascii="Times New Roman" w:hAnsi="Times New Roman"/>
          <w:sz w:val="22"/>
          <w:szCs w:val="22"/>
          <w:u w:val="none"/>
        </w:rPr>
        <w:t xml:space="preserve"> suivent-ils des formations en rapport avec les prestations objet du marché (sécurité gaz haute pression et risques chimiques notamment) ?</w:t>
      </w:r>
    </w:p>
    <w:tbl>
      <w:tblPr>
        <w:tblW w:w="964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>
        <w:trPr>
          <w:trHeight w:val="454" w:hRule="atLeast"/>
        </w:trPr>
        <w:tc>
          <w:tcPr>
            <w:tcW w:w="964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hanging="0" w:left="0" w:right="170"/>
              <w:jc w:val="center"/>
              <w:textAlignment w:val="baseline"/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/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ontrol_shape_0" o:allowincell="t" style="width:6.6pt;height:6.6pt" type="#_x0000_t75"/>
                <w:control r:id="rId5" w:name="Case à cocher 2" w:shapeid="control_shape_0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>OUI</w:t>
              <w:tab/>
              <w:tab/>
              <w:tab/>
              <w:tab/>
              <w:tab/>
              <w:t xml:space="preserve"> </w:t>
            </w:r>
            <w:r>
              <w:rPr/>
              <w:object>
                <v:shape id="control_shape_1" o:allowincell="t" style="width:6.6pt;height:6.6pt" type="#_x0000_t75"/>
                <w:control r:id="rId6" w:name="Case à cocher 2" w:shapeid="control_shape_1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NON</w:t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Dans l’affirmative, dans le cadre ci-dessous, décrire en quelques lignes la politique de la société en matière de formation et les formations suivies en rapport avec les 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single"/>
        </w:rPr>
        <w:t>prestations objet de ce marché </w:t>
      </w: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: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bidi w:val="0"/>
        <w:spacing w:lineRule="auto" w:line="240" w:before="227" w:after="0"/>
        <w:ind w:hanging="0" w:left="0" w:right="170"/>
        <w:jc w:val="both"/>
        <w:rPr>
          <w:b/>
          <w:bCs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Politique du </w:t>
      </w:r>
      <w:r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>candidat</w:t>
      </w:r>
      <w:r>
        <w:rPr>
          <w:rFonts w:ascii="Times New Roman" w:hAnsi="Times New Roman"/>
          <w:b/>
          <w:bCs/>
          <w:sz w:val="22"/>
          <w:szCs w:val="22"/>
          <w:u w:val="single"/>
        </w:rPr>
        <w:t xml:space="preserve"> en matière d’insertion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widowControl w:val="false"/>
        <w:bidi w:val="0"/>
        <w:spacing w:lineRule="auto" w:line="240" w:before="0" w:after="113"/>
        <w:ind w:hanging="0" w:left="0" w:right="17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Des mesures favorisant l’insertion des jeunes diplômés qualifiés, des personnes handicapées, des femmes, des hommes et / ou des seniors en incident de parcours sont-elles mises en place </w:t>
      </w:r>
      <w:r>
        <w:rPr>
          <w:rFonts w:ascii="Times New Roman" w:hAnsi="Times New Roman"/>
          <w:color w:val="auto"/>
          <w:sz w:val="22"/>
          <w:szCs w:val="22"/>
        </w:rPr>
        <w:t>au sein de votre société</w:t>
      </w:r>
      <w:r>
        <w:rPr>
          <w:rFonts w:ascii="Times New Roman" w:hAnsi="Times New Roman"/>
          <w:sz w:val="22"/>
          <w:szCs w:val="22"/>
        </w:rPr>
        <w:t> ? Le cas échéant, ces personnes seront-elles affectées à l’exécution des prestations objet de ce marché ?</w:t>
      </w:r>
    </w:p>
    <w:tbl>
      <w:tblPr>
        <w:tblW w:w="964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>
        <w:trPr>
          <w:trHeight w:val="454" w:hRule="atLeast"/>
        </w:trPr>
        <w:tc>
          <w:tcPr>
            <w:tcW w:w="964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hanging="0" w:left="0" w:right="170"/>
              <w:jc w:val="center"/>
              <w:textAlignment w:val="baseline"/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/>
              <w:object>
                <v:shape id="control_shape_2" o:allowincell="t" style="width:6.6pt;height:6.6pt" type="#_x0000_t75"/>
                <w:control r:id="rId7" w:name="Case à cocher 2" w:shapeid="control_shape_2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>OUI</w:t>
              <w:tab/>
              <w:tab/>
              <w:tab/>
              <w:tab/>
              <w:tab/>
              <w:t xml:space="preserve"> </w:t>
            </w:r>
            <w:r>
              <w:rPr/>
              <w:object>
                <v:shape id="control_shape_3" o:allowincell="t" style="width:6.6pt;height:6.6pt" type="#_x0000_t75"/>
                <w:control r:id="rId8" w:name="Case à cocher 2" w:shapeid="control_shape_3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NON</w:t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Dans l’affirmative, dans le cadre ci-dessous, décrire en quelques lignes les tâches qui seront dévolues à ces personnes affectées à l’exécution des 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single"/>
        </w:rPr>
        <w:t>prestations objet de ce marché </w:t>
      </w: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: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64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none"/>
        </w:rPr>
        <w:t>VOLET ENVIRONNEMENTAL (sur 10 points)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color w:val="auto"/>
          <w:sz w:val="22"/>
          <w:szCs w:val="22"/>
          <w:u w:val="none"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none"/>
        </w:rPr>
      </w:r>
    </w:p>
    <w:p>
      <w:pPr>
        <w:pStyle w:val="TITRE1"/>
        <w:keepNext w:val="true"/>
        <w:widowControl w:val="false"/>
        <w:numPr>
          <w:ilvl w:val="0"/>
          <w:numId w:val="0"/>
        </w:numPr>
        <w:tabs>
          <w:tab w:val="clear" w:pos="709"/>
        </w:tabs>
        <w:bidi w:val="0"/>
        <w:ind w:hanging="0" w:left="0" w:right="0"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sz w:val="24"/>
          <w:szCs w:val="24"/>
          <w:u w:val="single"/>
          <w:lang w:val="fr-FR" w:bidi="ar-SA"/>
        </w:rPr>
      </w:pPr>
      <w:bookmarkStart w:id="0" w:name="__RefHeading___Toc8281_3569170012"/>
      <w:bookmarkEnd w:id="0"/>
      <w:r>
        <w:rPr>
          <w:rFonts w:eastAsia="Times New Roman" w:cs="Times New Roman" w:ascii="Times New Roman" w:hAnsi="Times New Roman"/>
          <w:bCs/>
          <w:iCs/>
          <w:color w:val="auto"/>
          <w:szCs w:val="24"/>
          <w:u w:val="single"/>
          <w:lang w:val="fr-FR" w:bidi="ar-SA"/>
        </w:rPr>
        <w:t>Performances énergétiques et réduction d’empreinte carbone</w:t>
      </w:r>
    </w:p>
    <w:p>
      <w:pPr>
        <w:pStyle w:val="BodyText"/>
        <w:widowControl w:val="false"/>
        <w:tabs>
          <w:tab w:val="clear" w:pos="709"/>
        </w:tabs>
        <w:bidi w:val="0"/>
        <w:ind w:hanging="0"/>
        <w:rPr/>
      </w:pPr>
      <w:r>
        <w:rPr>
          <w:rStyle w:val="Policepardfaut"/>
          <w:rFonts w:eastAsia="Times New Roman" w:cs="Times New Roman" w:ascii="Times New Roman" w:hAnsi="Times New Roman"/>
          <w:b/>
          <w:bCs/>
          <w:color w:val="000000"/>
          <w:sz w:val="22"/>
          <w:szCs w:val="22"/>
          <w:u w:val="single"/>
          <w:shd w:fill="auto" w:val="clear"/>
          <w:lang w:val="fr-FR" w:bidi="ar-SA"/>
        </w:rPr>
        <w:t>Pour le lot n°1 et le lot n°2</w:t>
      </w:r>
      <w:r>
        <w:rPr>
          <w:rStyle w:val="Policepardfaut"/>
          <w:rFonts w:eastAsia="Times New Roman" w:cs="Times New Roman" w:ascii="Times New Roman" w:hAnsi="Times New Roman"/>
          <w:bCs w:val="false"/>
          <w:color w:val="000000"/>
          <w:sz w:val="22"/>
          <w:szCs w:val="22"/>
          <w:u w:val="single"/>
          <w:shd w:fill="auto" w:val="clear"/>
          <w:lang w:val="fr-FR" w:bidi="ar-SA"/>
        </w:rPr>
        <w:t xml:space="preserve">, le 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strike w:val="false"/>
          <w:dstrike w:val="false"/>
          <w:color w:val="000000"/>
          <w:sz w:val="22"/>
          <w:szCs w:val="22"/>
          <w:u w:val="single"/>
          <w:shd w:fill="auto" w:val="clear"/>
          <w:lang w:val="fr-FR" w:bidi="ar-SA"/>
        </w:rPr>
        <w:t>candidat précisera :</w:t>
      </w:r>
    </w:p>
    <w:p>
      <w:pPr>
        <w:pStyle w:val="BodyText"/>
        <w:widowControl w:val="false"/>
        <w:numPr>
          <w:ilvl w:val="0"/>
          <w:numId w:val="2"/>
        </w:numPr>
        <w:tabs>
          <w:tab w:val="clear" w:pos="709"/>
        </w:tabs>
        <w:bidi w:val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Cs w:val="false"/>
          <w:color w:val="000000"/>
          <w:sz w:val="22"/>
          <w:szCs w:val="22"/>
          <w:shd w:fill="auto" w:val="clear"/>
          <w:lang w:val="fr-FR" w:bidi="ar-SA"/>
        </w:rPr>
        <w:t xml:space="preserve">les mesures mises en 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  <w:lang w:val="fr-FR" w:bidi="ar-SA"/>
        </w:rPr>
        <w:t>œuvre</w:t>
      </w:r>
      <w:r>
        <w:rPr>
          <w:rStyle w:val="Policepardfaut"/>
          <w:rFonts w:eastAsia="Times New Roman" w:cs="Times New Roman" w:ascii="Times New Roman" w:hAnsi="Times New Roman"/>
          <w:bCs w:val="false"/>
          <w:color w:val="000000"/>
          <w:sz w:val="22"/>
          <w:szCs w:val="22"/>
          <w:shd w:fill="auto" w:val="clear"/>
          <w:lang w:val="fr-FR" w:bidi="ar-SA"/>
        </w:rPr>
        <w:t xml:space="preserve"> pour limiter les pertes gazeuses et cryogéniques (étanchéité, maintenance préventive, contrôle des fuites) ;</w:t>
      </w:r>
    </w:p>
    <w:p>
      <w:pPr>
        <w:pStyle w:val="BodyText"/>
        <w:widowControl w:val="false"/>
        <w:numPr>
          <w:ilvl w:val="0"/>
          <w:numId w:val="2"/>
        </w:numPr>
        <w:tabs>
          <w:tab w:val="clear" w:pos="709"/>
        </w:tabs>
        <w:bidi w:val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Cs w:val="false"/>
          <w:color w:val="000000"/>
          <w:sz w:val="22"/>
          <w:szCs w:val="22"/>
          <w:shd w:fill="auto" w:val="clear"/>
          <w:lang w:val="fr-FR" w:bidi="ar-SA"/>
        </w:rPr>
        <w:t>les bonnes pratiques de remplissage et de stockage responsable des gaz.</w:t>
      </w:r>
    </w:p>
    <w:p>
      <w:pPr>
        <w:pStyle w:val="BodyText"/>
        <w:widowControl w:val="false"/>
        <w:numPr>
          <w:ilvl w:val="0"/>
          <w:numId w:val="0"/>
        </w:numPr>
        <w:tabs>
          <w:tab w:val="clear" w:pos="709"/>
        </w:tabs>
        <w:suppressAutoHyphens w:val="true"/>
        <w:bidi w:val="0"/>
        <w:spacing w:lineRule="auto" w:line="276" w:before="0" w:after="140"/>
        <w:ind w:hanging="0" w:left="0" w:right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/>
          <w:bCs/>
          <w:color w:val="000000"/>
          <w:sz w:val="22"/>
          <w:szCs w:val="22"/>
          <w:u w:val="single"/>
          <w:shd w:fill="auto" w:val="clear"/>
          <w:lang w:val="fr-FR" w:bidi="ar-SA"/>
        </w:rPr>
        <w:t>Pour le lot n°3</w:t>
      </w:r>
      <w:r>
        <w:rPr>
          <w:rStyle w:val="Policepardfaut"/>
          <w:rFonts w:eastAsia="Times New Roman" w:cs="Times New Roman" w:ascii="Times New Roman" w:hAnsi="Times New Roman"/>
          <w:bCs w:val="false"/>
          <w:color w:val="000000"/>
          <w:sz w:val="22"/>
          <w:szCs w:val="22"/>
          <w:u w:val="single"/>
          <w:shd w:fill="auto" w:val="clear"/>
          <w:lang w:val="fr-FR" w:bidi="ar-SA"/>
        </w:rPr>
        <w:t xml:space="preserve"> – générateurs d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u w:val="single"/>
          <w:shd w:fill="auto" w:val="clear"/>
          <w:lang w:val="fr-FR" w:bidi="ar-SA"/>
        </w:rPr>
        <w:t xml:space="preserve">’hydrogène, le 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strike w:val="false"/>
          <w:dstrike w:val="false"/>
          <w:color w:val="000000"/>
          <w:sz w:val="22"/>
          <w:szCs w:val="22"/>
          <w:u w:val="single"/>
          <w:shd w:fill="auto" w:val="clear"/>
          <w:lang w:val="fr-FR" w:bidi="ar-SA"/>
        </w:rPr>
        <w:t>candidat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fr-FR" w:bidi="ar-SA"/>
        </w:rPr>
        <w:t> 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u w:val="none"/>
          <w:shd w:fill="auto" w:val="clear"/>
          <w:lang w:val="fr-FR" w:bidi="ar-SA"/>
        </w:rPr>
        <w:t>:</w:t>
      </w:r>
    </w:p>
    <w:p>
      <w:pPr>
        <w:pStyle w:val="BodyText"/>
        <w:widowControl w:val="false"/>
        <w:numPr>
          <w:ilvl w:val="0"/>
          <w:numId w:val="2"/>
        </w:numPr>
        <w:tabs>
          <w:tab w:val="clear" w:pos="709"/>
        </w:tabs>
        <w:bidi w:val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  <w:lang w:val="fr-FR" w:bidi="ar-SA"/>
        </w:rPr>
        <w:t>de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strike w:val="false"/>
          <w:dstrike w:val="false"/>
          <w:color w:val="000000"/>
          <w:sz w:val="22"/>
          <w:szCs w:val="22"/>
          <w:shd w:fill="auto" w:val="clear"/>
          <w:lang w:val="fr-FR" w:bidi="ar-SA"/>
        </w:rPr>
        <w:t>vra</w:t>
      </w: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  <w:lang w:val="fr-FR" w:bidi="ar-SA"/>
        </w:rPr>
        <w:t xml:space="preserve"> fournir des équipements à haut rendement énergétique conforme à la norme ISO 22734  ou équivalent ; </w:t>
      </w:r>
    </w:p>
    <w:p>
      <w:pPr>
        <w:pStyle w:val="BodyText"/>
        <w:widowControl w:val="false"/>
        <w:numPr>
          <w:ilvl w:val="0"/>
          <w:numId w:val="2"/>
        </w:numPr>
        <w:tabs>
          <w:tab w:val="clear" w:pos="709"/>
        </w:tabs>
        <w:bidi w:val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  <w:lang w:val="fr-FR" w:bidi="ar-SA"/>
        </w:rPr>
        <w:t>précisera la consommation électrique spécifique des générateurs (kWh/Nm³H₂ produit), taux de stockage et les émissions indirectes de CO₂ associées ;</w:t>
      </w:r>
    </w:p>
    <w:p>
      <w:pPr>
        <w:pStyle w:val="BodyText"/>
        <w:widowControl w:val="false"/>
        <w:numPr>
          <w:ilvl w:val="0"/>
          <w:numId w:val="2"/>
        </w:numPr>
        <w:tabs>
          <w:tab w:val="clear" w:pos="709"/>
        </w:tabs>
        <w:bidi w:val="0"/>
        <w:jc w:val="both"/>
        <w:rPr/>
      </w:pPr>
      <w:r>
        <w:rPr>
          <w:rStyle w:val="Policepardfaut"/>
          <w:rFonts w:eastAsia="Times New Roman"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  <w:lang w:val="fr-FR" w:bidi="ar-SA"/>
        </w:rPr>
        <w:t>présentera, le cas échéant, des solutions d’optimisation énergétique (récupération de chaleur, régulation intelligente, veille réduite).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  <w:u w:val="none"/>
          <w:shd w:fill="auto" w:val="clear"/>
        </w:rPr>
        <w:t>Le candidat doit formuler ses réponses dans le cadre ci-dessous :</w:t>
      </w:r>
      <w:r>
        <w:rPr>
          <w:rFonts w:ascii="Times New Roman" w:hAnsi="Times New Roman"/>
          <w:b/>
          <w:bCs/>
          <w:color w:val="000000"/>
          <w:sz w:val="22"/>
          <w:szCs w:val="22"/>
          <w:u w:val="none"/>
          <w:shd w:fill="auto" w:val="clear"/>
        </w:rPr>
        <w:t xml:space="preserve"> </w:t>
      </w:r>
    </w:p>
    <w:p>
      <w:pPr>
        <w:pStyle w:val="Normal"/>
        <w:widowControl w:val="false"/>
        <w:bidi w:val="0"/>
        <w:spacing w:lineRule="auto" w:line="240"/>
        <w:ind w:hanging="0" w:left="0" w:right="170"/>
        <w:jc w:val="both"/>
        <w:rPr>
          <w:rFonts w:ascii="Times New Roman" w:hAnsi="Times New Roman"/>
          <w:b/>
          <w:bCs/>
          <w:color w:val="000000"/>
          <w:sz w:val="22"/>
          <w:szCs w:val="22"/>
          <w:u w:val="none"/>
          <w:shd w:fill="auto" w:val="clear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u w:val="none"/>
          <w:shd w:fill="auto" w:val="clear"/>
        </w:rPr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3000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227" w:after="113"/>
        <w:ind w:hanging="0" w:left="0" w:right="170"/>
        <w:jc w:val="both"/>
        <w:rPr>
          <w:u w:val="single"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>Pour tous les lots </w:t>
      </w:r>
      <w:r>
        <w:rPr>
          <w:rFonts w:ascii="Times New Roman" w:hAnsi="Times New Roman"/>
          <w:b/>
          <w:bCs/>
          <w:color w:val="auto"/>
          <w:sz w:val="22"/>
          <w:szCs w:val="22"/>
          <w:u w:val="none"/>
        </w:rPr>
        <w:t xml:space="preserve">: </w:t>
      </w:r>
    </w:p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227" w:after="113"/>
        <w:ind w:hanging="0" w:left="0" w:right="170"/>
        <w:jc w:val="both"/>
        <w:rPr>
          <w:b/>
          <w:bCs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none"/>
        </w:rPr>
        <w:t>- Utilisation de produits / matériaux recyclés / biosourcés / à faible émission de polluants / autres…</w:t>
      </w:r>
    </w:p>
    <w:tbl>
      <w:tblPr>
        <w:tblW w:w="964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>
        <w:trPr>
          <w:trHeight w:val="454" w:hRule="atLeast"/>
        </w:trPr>
        <w:tc>
          <w:tcPr>
            <w:tcW w:w="964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hanging="0" w:left="0" w:right="170"/>
              <w:jc w:val="center"/>
              <w:textAlignment w:val="baseline"/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/>
              <w:object>
                <v:shape id="control_shape_4" o:allowincell="t" style="width:6.6pt;height:6.6pt" type="#_x0000_t75"/>
                <w:control r:id="rId9" w:name="Case à cocher 2" w:shapeid="control_shape_4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>OUI</w:t>
              <w:tab/>
              <w:tab/>
              <w:tab/>
              <w:tab/>
              <w:tab/>
              <w:t xml:space="preserve"> </w:t>
            </w:r>
            <w:r>
              <w:rPr/>
              <w:object>
                <v:shape id="control_shape_5" o:allowincell="t" style="width:6.6pt;height:6.6pt" type="#_x0000_t75"/>
                <w:control r:id="rId10" w:name="Case à cocher 2" w:shapeid="control_shape_5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NON</w:t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Dans l’affirmative, dans le cadre ci-dessous, décrire en quelques lignes les produits / matériaux recyclés, biosourcés, à faible émission de polluants ou autre utilisés 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single"/>
        </w:rPr>
        <w:t>dans le cadre de ce marché</w:t>
      </w:r>
      <w:r>
        <w:rPr>
          <w:rFonts w:ascii="Times New Roman" w:hAnsi="Times New Roman"/>
          <w:b w:val="false"/>
          <w:bCs w:val="false"/>
          <w:color w:val="C9211E"/>
          <w:sz w:val="22"/>
          <w:szCs w:val="22"/>
          <w:u w:val="none"/>
        </w:rPr>
        <w:t xml:space="preserve"> </w:t>
      </w: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(et indiquer le pourcentage le cas échéant) :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2668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227" w:after="113"/>
        <w:ind w:hanging="0" w:left="0" w:right="170"/>
        <w:jc w:val="both"/>
        <w:rPr>
          <w:b/>
          <w:bCs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none"/>
        </w:rPr>
        <w:t>- Autre</w:t>
      </w:r>
    </w:p>
    <w:tbl>
      <w:tblPr>
        <w:tblW w:w="964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>
        <w:trPr>
          <w:trHeight w:val="454" w:hRule="atLeast"/>
        </w:trPr>
        <w:tc>
          <w:tcPr>
            <w:tcW w:w="964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hanging="0" w:left="0" w:right="170"/>
              <w:jc w:val="center"/>
              <w:textAlignment w:val="baseline"/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/>
              <w:object>
                <v:shape id="control_shape_6" o:allowincell="t" style="width:6.6pt;height:6.6pt" type="#_x0000_t75"/>
                <w:control r:id="rId11" w:name="Case à cocher 2" w:shapeid="control_shape_6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>OUI</w:t>
              <w:tab/>
              <w:tab/>
              <w:tab/>
              <w:tab/>
              <w:tab/>
              <w:t xml:space="preserve"> </w:t>
            </w:r>
            <w:r>
              <w:rPr/>
              <w:object>
                <v:shape id="control_shape_7" o:allowincell="t" style="width:6.6pt;height:6.6pt" type="#_x0000_t75"/>
                <w:control r:id="rId12" w:name="Case à cocher 2" w:shapeid="control_shape_7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NON</w:t>
            </w:r>
          </w:p>
        </w:tc>
      </w:tr>
    </w:tbl>
    <w:p>
      <w:pPr>
        <w:pStyle w:val="Normal"/>
        <w:widowControl w:val="false"/>
        <w:tabs>
          <w:tab w:val="clear" w:pos="709"/>
          <w:tab w:val="left" w:pos="-118" w:leader="none"/>
        </w:tabs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Dans l’affirmative, dans le cadre ci-dessous, décrire en quelques lignes les mesures environnementales complémentaires mises en œuvre 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single"/>
        </w:rPr>
        <w:t>dans le cadre de ce marché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none"/>
        </w:rPr>
        <w:t> </w:t>
      </w: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: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1532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340" w:after="0"/>
        <w:ind w:hanging="0" w:left="0" w:right="170"/>
        <w:jc w:val="both"/>
        <w:rPr/>
      </w:pPr>
      <w:r>
        <w:rPr>
          <w:rStyle w:val="Strong"/>
          <w:rFonts w:ascii="Times New Roman" w:hAnsi="Times New Roman"/>
          <w:b/>
          <w:bCs/>
          <w:color w:val="auto"/>
          <w:sz w:val="22"/>
          <w:szCs w:val="22"/>
          <w:u w:val="single"/>
        </w:rPr>
        <w:t>Certifications et autres (à titre informatif)</w:t>
      </w:r>
    </w:p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0" w:after="0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r>
    </w:p>
    <w:p>
      <w:pPr>
        <w:pStyle w:val="Normal"/>
        <w:widowControl w:val="false"/>
        <w:tabs>
          <w:tab w:val="clear" w:pos="709"/>
          <w:tab w:val="left" w:pos="-118" w:leader="none"/>
        </w:tabs>
        <w:bidi w:val="0"/>
        <w:spacing w:lineRule="auto" w:line="240" w:before="0" w:after="113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- Votre société est elle certifiée ISO (ou équivalent)  applicable au secteur gazier (qualité, conformité, environnement, santé et sécurité au travail, transports de matières dangereuses) </w:t>
      </w:r>
      <w:r>
        <w:rPr>
          <w:rStyle w:val="Strong"/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? (Joindre le justificatif)</w:t>
      </w:r>
    </w:p>
    <w:tbl>
      <w:tblPr>
        <w:tblW w:w="964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>
        <w:trPr>
          <w:trHeight w:val="454" w:hRule="atLeast"/>
        </w:trPr>
        <w:tc>
          <w:tcPr>
            <w:tcW w:w="9642" w:type="dxa"/>
            <w:tcBorders/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ind w:hanging="0" w:left="0" w:right="170"/>
              <w:jc w:val="center"/>
              <w:textAlignment w:val="baseline"/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/>
              <w:object>
                <v:shape id="control_shape_8" o:allowincell="t" style="width:6.6pt;height:6.6pt" type="#_x0000_t75"/>
                <w:control r:id="rId13" w:name="Case à cocher 2" w:shapeid="control_shape_8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>OUI</w:t>
              <w:tab/>
              <w:tab/>
              <w:tab/>
              <w:tab/>
              <w:tab/>
              <w:t xml:space="preserve"> </w:t>
            </w:r>
            <w:r>
              <w:rPr/>
              <w:object>
                <v:shape id="control_shape_9" o:allowincell="t" style="width:6.6pt;height:6.6pt" type="#_x0000_t75"/>
                <w:control r:id="rId14" w:name="Case à cocher 2" w:shapeid="control_shape_9"/>
              </w:object>
            </w:r>
            <w:r>
              <w:rPr>
                <w:rFonts w:ascii="Times New Roman" w:hAnsi="Times New Roman"/>
                <w:b w:val="false"/>
                <w:bCs w:val="false"/>
                <w:color w:val="auto"/>
                <w:sz w:val="22"/>
                <w:szCs w:val="22"/>
                <w:u w:val="none"/>
              </w:rPr>
              <w:t xml:space="preserve"> NON</w:t>
            </w:r>
          </w:p>
        </w:tc>
      </w:tr>
    </w:tbl>
    <w:p>
      <w:pPr>
        <w:pStyle w:val="Normal"/>
        <w:widowControl w:val="false"/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709"/>
          <w:tab w:val="left" w:pos="-118" w:leader="none"/>
        </w:tabs>
        <w:bidi w:val="0"/>
        <w:spacing w:lineRule="auto" w:line="240" w:before="113" w:after="113"/>
        <w:ind w:hanging="0" w:left="0" w:right="170"/>
        <w:jc w:val="both"/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 xml:space="preserve">Dans l’affirmative, dans le cadre ci-dessous, décrire en quelques lignes vos certifications 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single"/>
        </w:rPr>
        <w:t>dans le cadre de ce marché</w:t>
      </w:r>
      <w:r>
        <w:rPr>
          <w:rFonts w:ascii="Times New Roman" w:hAnsi="Times New Roman"/>
          <w:b w:val="false"/>
          <w:bCs w:val="false"/>
          <w:color w:val="FF0000"/>
          <w:sz w:val="22"/>
          <w:szCs w:val="22"/>
          <w:u w:val="none"/>
        </w:rPr>
        <w:t> </w:t>
      </w:r>
      <w:r>
        <w:rPr>
          <w:rFonts w:ascii="Times New Roman" w:hAnsi="Times New Roman"/>
          <w:b w:val="false"/>
          <w:bCs w:val="false"/>
          <w:color w:val="auto"/>
          <w:sz w:val="22"/>
          <w:szCs w:val="22"/>
          <w:u w:val="none"/>
        </w:rPr>
        <w:t>: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38"/>
      </w:tblGrid>
      <w:tr>
        <w:trPr>
          <w:trHeight w:val="1532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Contenudetableau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BodyText"/>
        <w:widowControl w:val="false"/>
        <w:tabs>
          <w:tab w:val="clear" w:pos="709"/>
          <w:tab w:val="left" w:pos="-118" w:leader="none"/>
        </w:tabs>
        <w:bidi w:val="0"/>
        <w:spacing w:lineRule="auto" w:line="240" w:before="340" w:after="0"/>
        <w:ind w:hanging="0" w:left="0" w:right="170"/>
        <w:jc w:val="both"/>
        <w:rPr>
          <w:rStyle w:val="Strong"/>
          <w:rFonts w:ascii="Times New Roman" w:hAnsi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/>
          <w:b/>
          <w:bCs/>
          <w:color w:val="auto"/>
          <w:sz w:val="22"/>
          <w:szCs w:val="22"/>
          <w:u w:val="single"/>
        </w:rPr>
      </w:r>
    </w:p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sectPr>
      <w:footerReference w:type="even" r:id="rId15"/>
      <w:footerReference w:type="default" r:id="rId16"/>
      <w:footerReference w:type="first" r:id="rId17"/>
      <w:type w:val="nextPage"/>
      <w:pgSz w:w="11906" w:h="16838"/>
      <w:pgMar w:left="1134" w:right="1134" w:gutter="0" w:header="0" w:top="1134" w:footer="1134" w:bottom="119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ascii="Times New Roman" w:hAnsi="Times New Roman"/>
        <w:color w:val="000000"/>
        <w:sz w:val="22"/>
        <w:szCs w:val="22"/>
      </w:rPr>
      <w:t xml:space="preserve">Annexe 5 du </w:t>
    </w:r>
    <w:r>
      <w:rPr>
        <w:rFonts w:ascii="Times New Roman" w:hAnsi="Times New Roman"/>
        <w:sz w:val="22"/>
        <w:szCs w:val="22"/>
      </w:rPr>
      <w:t>RC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left"/>
      <w:rPr>
        <w:rFonts w:ascii="Arial" w:hAnsi="Arial"/>
      </w:rPr>
    </w:pP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color w:val="000000"/>
        <w:sz w:val="22"/>
        <w:szCs w:val="22"/>
      </w:rPr>
      <w:t>Annexe 5 du</w:t>
    </w:r>
    <w:r>
      <w:rPr>
        <w:rFonts w:ascii="Times New Roman" w:hAnsi="Times New Roman"/>
        <w:sz w:val="22"/>
        <w:szCs w:val="22"/>
      </w:rPr>
      <w:t xml:space="preserve"> RC</w:t>
      <w:tab/>
      <w:t xml:space="preserve">Page </w:t>
    </w:r>
    <w:r>
      <w:rPr>
        <w:rFonts w:ascii="Times New Roman" w:hAnsi="Times New Roman"/>
        <w:sz w:val="22"/>
        <w:szCs w:val="22"/>
      </w:rPr>
      <w:fldChar w:fldCharType="begin"/>
    </w:r>
    <w:r>
      <w:rPr>
        <w:sz w:val="22"/>
        <w:szCs w:val="22"/>
        <w:rFonts w:ascii="Times New Roman" w:hAnsi="Times New Roman"/>
      </w:rPr>
      <w:instrText xml:space="preserve"> PAGE </w:instrText>
    </w:r>
    <w:r>
      <w:rPr>
        <w:sz w:val="22"/>
        <w:szCs w:val="22"/>
        <w:rFonts w:ascii="Times New Roman" w:hAnsi="Times New Roman"/>
      </w:rPr>
      <w:fldChar w:fldCharType="separate"/>
    </w:r>
    <w:r>
      <w:rPr>
        <w:sz w:val="22"/>
        <w:szCs w:val="22"/>
        <w:rFonts w:ascii="Times New Roman" w:hAnsi="Times New Roman"/>
      </w:rPr>
      <w:t>4</w:t>
    </w:r>
    <w:r>
      <w:rPr>
        <w:sz w:val="22"/>
        <w:szCs w:val="22"/>
        <w:rFonts w:ascii="Times New Roman" w:hAnsi="Times New Roman"/>
      </w:rPr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fr-FR" w:eastAsia="zh-CN" w:bidi="hi-IN"/>
    </w:rPr>
  </w:style>
  <w:style w:type="paragraph" w:styleId="Heading4">
    <w:name w:val="heading 4"/>
    <w:basedOn w:val="Normal"/>
    <w:next w:val="Normal"/>
    <w:qFormat/>
    <w:pPr>
      <w:keepNext w:val="true"/>
      <w:spacing w:before="0" w:after="0"/>
      <w:ind w:firstLine="900" w:left="0" w:right="0"/>
      <w:jc w:val="both"/>
    </w:pPr>
    <w:rPr>
      <w:b/>
      <w:bCs/>
      <w:i/>
      <w:iCs/>
      <w:u w:val="single"/>
    </w:rPr>
  </w:style>
  <w:style w:type="character" w:styleId="Strong">
    <w:name w:val="Strong"/>
    <w:qFormat/>
    <w:rPr>
      <w:b/>
      <w:bCs/>
    </w:rPr>
  </w:style>
  <w:style w:type="character" w:styleId="Policepardfaut">
    <w:name w:val="Police par défaut"/>
    <w:qFormat/>
    <w:rPr/>
  </w:style>
  <w:style w:type="character" w:styleId="Puces">
    <w:name w:val="Puces"/>
    <w:qFormat/>
    <w:rPr>
      <w:rFonts w:ascii="StarSymbol" w:hAnsi="StarSymbol" w:eastAsia="StarSymbol" w:cs="StarSymbol"/>
      <w:sz w:val="18"/>
      <w:szCs w:val="18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Footer">
    <w:name w:val="footer"/>
    <w:basedOn w:val="En-tteetpieddepage"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itations">
    <w:name w:val="Citations"/>
    <w:basedOn w:val="Normal"/>
    <w:qFormat/>
    <w:pPr>
      <w:suppressAutoHyphens w:val="true"/>
      <w:spacing w:before="0" w:after="283"/>
      <w:ind w:hanging="0" w:left="567" w:right="567"/>
    </w:pPr>
    <w:rPr/>
  </w:style>
  <w:style w:type="paragraph" w:styleId="TITRE1">
    <w:name w:val="TITRE1"/>
    <w:basedOn w:val="Heading4"/>
    <w:qFormat/>
    <w:pPr>
      <w:numPr>
        <w:ilvl w:val="1"/>
        <w:numId w:val="1"/>
      </w:numPr>
      <w:spacing w:before="227" w:after="227"/>
      <w:ind w:hanging="0" w:left="0" w:right="0"/>
      <w:outlineLvl w:val="1"/>
    </w:pPr>
    <w:rPr>
      <w:b/>
      <w:i w:val="false"/>
      <w:sz w:val="22"/>
    </w:rPr>
  </w:style>
  <w:style w:type="paragraph" w:styleId="Commentaireuser">
    <w:name w:val="Commentaire (user)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Commentaire">
    <w:name w:val="Commentaire"/>
    <w:basedOn w:val="Normal"/>
    <w:qFormat/>
    <w:pPr>
      <w:spacing w:before="56" w:after="0"/>
      <w:ind w:left="56" w:right="56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control" Target="activeX/activeX1.xml"/><Relationship Id="rId6" Type="http://schemas.openxmlformats.org/officeDocument/2006/relationships/control" Target="activeX/activeX2.xml"/><Relationship Id="rId7" Type="http://schemas.openxmlformats.org/officeDocument/2006/relationships/control" Target="activeX/activeX3.xml"/><Relationship Id="rId8" Type="http://schemas.openxmlformats.org/officeDocument/2006/relationships/control" Target="activeX/activeX4.xml"/><Relationship Id="rId9" Type="http://schemas.openxmlformats.org/officeDocument/2006/relationships/control" Target="activeX/activeX5.xml"/><Relationship Id="rId10" Type="http://schemas.openxmlformats.org/officeDocument/2006/relationships/control" Target="activeX/activeX6.xml"/><Relationship Id="rId11" Type="http://schemas.openxmlformats.org/officeDocument/2006/relationships/control" Target="activeX/activeX7.xml"/><Relationship Id="rId12" Type="http://schemas.openxmlformats.org/officeDocument/2006/relationships/control" Target="activeX/activeX8.xml"/><Relationship Id="rId13" Type="http://schemas.openxmlformats.org/officeDocument/2006/relationships/control" Target="activeX/activeX9.xml"/><Relationship Id="rId14" Type="http://schemas.openxmlformats.org/officeDocument/2006/relationships/control" Target="activeX/activeX10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footer" Target="footer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10.xml.rels><?xml version="1.0" encoding="UTF-8"?>
<Relationships xmlns="http://schemas.openxmlformats.org/package/2006/relationships"><Relationship Id="rId1" Type="http://schemas.microsoft.com/office/2006/relationships/activeXControlBinary" Target="activeX10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_rels/activeX9.xml.rels><?xml version="1.0" encoding="UTF-8"?>
<Relationships xmlns="http://schemas.openxmlformats.org/package/2006/relationships"><Relationship Id="rId1" Type="http://schemas.microsoft.com/office/2006/relationships/activeXControlBinary" Target="activeX9.bin"/>
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788</TotalTime>
  <Application>LibreOffice/24.8.5.2$Linux_X86_64 LibreOffice_project/480$Build-2</Application>
  <AppVersion>15.0000</AppVersion>
  <Pages>3</Pages>
  <Words>702</Words>
  <Characters>3742</Characters>
  <CharactersWithSpaces>4438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2024-10-22T15:05:01Z</dcterms:created>
  <dc:creator/>
  <dc:description/>
  <dc:language>fr-FR</dc:language>
  <cp:lastModifiedBy/>
  <cp:lastPrinted>2026-03-05T13:14:43Z</cp:lastPrinted>
  <dcterms:modified xsi:type="dcterms:W3CDTF">2026-04-07T14:51:19Z</dcterms:modified>
  <cp:revision>106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